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205EBE" w:rsidRPr="00205EBE" w:rsidRDefault="006729D4" w:rsidP="00205EBE">
      <w:pPr>
        <w:tabs>
          <w:tab w:val="left" w:pos="74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lang w:val="uk-UA"/>
        </w:rPr>
        <w:t xml:space="preserve">           </w:t>
      </w:r>
      <w:r w:rsidR="00205EB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  <w:r w:rsidRPr="00205EBE">
        <w:rPr>
          <w:rFonts w:ascii="Times New Roman" w:hAnsi="Times New Roman" w:cs="Times New Roman"/>
          <w:lang w:val="uk-UA"/>
        </w:rPr>
        <w:t xml:space="preserve">   </w:t>
      </w:r>
      <w:r w:rsidR="00157FC2">
        <w:rPr>
          <w:rFonts w:ascii="Times New Roman" w:hAnsi="Times New Roman" w:cs="Times New Roman"/>
          <w:lang w:val="uk-UA"/>
        </w:rPr>
        <w:t xml:space="preserve">                </w:t>
      </w:r>
      <w:r w:rsidRPr="00205EBE">
        <w:rPr>
          <w:rFonts w:ascii="Times New Roman" w:hAnsi="Times New Roman" w:cs="Times New Roman"/>
          <w:lang w:val="uk-UA"/>
        </w:rPr>
        <w:t xml:space="preserve"> </w:t>
      </w:r>
      <w:r w:rsidR="00D7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5EBE" w:rsidRPr="00205EBE" w:rsidRDefault="00205EBE" w:rsidP="00205EBE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205EBE">
        <w:rPr>
          <w:noProof/>
          <w:sz w:val="28"/>
          <w:szCs w:val="28"/>
          <w:lang w:val="ru-RU"/>
        </w:rPr>
        <w:drawing>
          <wp:inline distT="0" distB="0" distL="0" distR="0" wp14:anchorId="32CD05D7" wp14:editId="7E65C771">
            <wp:extent cx="424815" cy="600075"/>
            <wp:effectExtent l="0" t="0" r="0" b="9525"/>
            <wp:docPr id="4" name="Рисунок 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EBE" w:rsidRPr="00205EBE" w:rsidRDefault="00205EBE" w:rsidP="00205EBE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 w:rsidRPr="00205EBE">
        <w:rPr>
          <w:sz w:val="19"/>
          <w:szCs w:val="19"/>
        </w:rPr>
        <w:tab/>
      </w:r>
    </w:p>
    <w:p w:rsidR="00205EBE" w:rsidRPr="00205EBE" w:rsidRDefault="00205EBE" w:rsidP="00205EBE">
      <w:pPr>
        <w:pStyle w:val="a8"/>
        <w:rPr>
          <w:b/>
        </w:rPr>
      </w:pPr>
      <w:r w:rsidRPr="00205EBE">
        <w:rPr>
          <w:b/>
        </w:rPr>
        <w:t>УКРАЇНА</w:t>
      </w:r>
    </w:p>
    <w:p w:rsidR="00205EBE" w:rsidRPr="00205EBE" w:rsidRDefault="00205EBE" w:rsidP="00205EBE">
      <w:pPr>
        <w:pStyle w:val="a8"/>
        <w:rPr>
          <w:b/>
          <w:lang w:val="uk-UA"/>
        </w:rPr>
      </w:pPr>
      <w:r w:rsidRPr="00205EBE">
        <w:rPr>
          <w:b/>
          <w:lang w:val="uk-UA"/>
        </w:rPr>
        <w:t>ЛУГАНСЬКА   ОБЛАСТЬ</w:t>
      </w:r>
    </w:p>
    <w:p w:rsidR="00205EBE" w:rsidRPr="00205EBE" w:rsidRDefault="00205EBE" w:rsidP="00205EBE">
      <w:pPr>
        <w:pStyle w:val="a8"/>
        <w:rPr>
          <w:b/>
          <w:lang w:val="uk-UA"/>
        </w:rPr>
      </w:pPr>
      <w:r w:rsidRPr="00205EBE">
        <w:rPr>
          <w:b/>
          <w:lang w:val="uk-UA"/>
        </w:rPr>
        <w:t>ПОПАСНЯНСЬКА  МІСЬКА  РАДА</w:t>
      </w:r>
    </w:p>
    <w:p w:rsidR="00205EBE" w:rsidRPr="00205EBE" w:rsidRDefault="00205EBE" w:rsidP="00205EBE">
      <w:pPr>
        <w:pStyle w:val="a8"/>
        <w:rPr>
          <w:b/>
          <w:lang w:val="uk-UA"/>
        </w:rPr>
      </w:pPr>
      <w:r w:rsidRPr="00205EBE">
        <w:rPr>
          <w:b/>
          <w:lang w:val="uk-UA"/>
        </w:rPr>
        <w:t>ВИКОНАВЧИЙ КОМІТЕТ</w:t>
      </w:r>
    </w:p>
    <w:p w:rsidR="00205EBE" w:rsidRPr="00205EBE" w:rsidRDefault="00205EBE" w:rsidP="00205EBE">
      <w:pPr>
        <w:pStyle w:val="a8"/>
        <w:rPr>
          <w:b/>
          <w:lang w:val="uk-UA"/>
        </w:rPr>
      </w:pPr>
    </w:p>
    <w:p w:rsidR="00205EBE" w:rsidRPr="00205EBE" w:rsidRDefault="00205EBE" w:rsidP="00205EBE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205E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5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205EBE" w:rsidRPr="00205EBE" w:rsidRDefault="00205EBE" w:rsidP="00205E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rFonts w:ascii="Times New Roman" w:hAnsi="Times New Roman" w:cs="Times New Roman"/>
          <w:sz w:val="28"/>
          <w:lang w:val="uk-UA"/>
        </w:rPr>
      </w:pPr>
      <w:r w:rsidRPr="00205EBE">
        <w:rPr>
          <w:rFonts w:ascii="Times New Roman" w:hAnsi="Times New Roman" w:cs="Times New Roman"/>
          <w:sz w:val="28"/>
          <w:lang w:val="uk-UA"/>
        </w:rPr>
        <w:t xml:space="preserve"> 18 грудня 2018 р</w:t>
      </w:r>
      <w:r>
        <w:rPr>
          <w:rFonts w:ascii="Times New Roman" w:hAnsi="Times New Roman" w:cs="Times New Roman"/>
          <w:sz w:val="28"/>
          <w:lang w:val="uk-UA"/>
        </w:rPr>
        <w:t xml:space="preserve">.                    </w:t>
      </w:r>
      <w:r w:rsidRPr="00205EBE">
        <w:rPr>
          <w:rFonts w:ascii="Times New Roman" w:hAnsi="Times New Roman" w:cs="Times New Roman"/>
          <w:sz w:val="28"/>
          <w:lang w:val="uk-UA"/>
        </w:rPr>
        <w:t xml:space="preserve">      м. Попасна</w:t>
      </w:r>
      <w:r w:rsidRPr="00205EBE">
        <w:rPr>
          <w:rFonts w:ascii="Times New Roman" w:hAnsi="Times New Roman" w:cs="Times New Roman"/>
          <w:sz w:val="28"/>
          <w:lang w:val="uk-UA"/>
        </w:rPr>
        <w:tab/>
        <w:t xml:space="preserve">                      </w:t>
      </w:r>
      <w:r w:rsidR="00D77860">
        <w:rPr>
          <w:rFonts w:ascii="Times New Roman" w:hAnsi="Times New Roman" w:cs="Times New Roman"/>
          <w:sz w:val="28"/>
          <w:lang w:val="uk-UA"/>
        </w:rPr>
        <w:t xml:space="preserve">                  </w:t>
      </w:r>
      <w:r w:rsidRPr="00205EBE">
        <w:rPr>
          <w:rFonts w:ascii="Times New Roman" w:hAnsi="Times New Roman" w:cs="Times New Roman"/>
          <w:sz w:val="28"/>
          <w:lang w:val="uk-UA"/>
        </w:rPr>
        <w:t xml:space="preserve">№ </w:t>
      </w:r>
      <w:r w:rsidR="00D77860">
        <w:rPr>
          <w:rFonts w:ascii="Times New Roman" w:hAnsi="Times New Roman" w:cs="Times New Roman"/>
          <w:sz w:val="28"/>
          <w:lang w:val="uk-UA"/>
        </w:rPr>
        <w:t>113</w:t>
      </w:r>
      <w:r w:rsidRPr="00205EB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DA26E4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sz w:val="28"/>
          <w:lang w:val="uk-UA"/>
        </w:rPr>
        <w:t xml:space="preserve">Про схвалення </w:t>
      </w:r>
      <w:r w:rsidR="0026388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</w:t>
      </w: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іської цільової </w:t>
      </w:r>
    </w:p>
    <w:p w:rsidR="00DA26E4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Програми </w:t>
      </w:r>
      <w:r w:rsidR="00F03C3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</w:t>
      </w: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озвитку</w:t>
      </w:r>
      <w:r w:rsidR="00DA26E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місцевого </w:t>
      </w:r>
    </w:p>
    <w:p w:rsidR="0060652D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самоврядування та громадського</w:t>
      </w:r>
    </w:p>
    <w:p w:rsidR="00205EBE" w:rsidRPr="00205EBE" w:rsidRDefault="00205EBE" w:rsidP="0020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суспільства у м. Попасна на 2019 рік</w:t>
      </w:r>
    </w:p>
    <w:p w:rsidR="00205EBE" w:rsidRDefault="00205EBE" w:rsidP="00205EBE">
      <w:pPr>
        <w:pStyle w:val="a3"/>
        <w:rPr>
          <w:rFonts w:ascii="Calibri" w:hAnsi="Calibri"/>
          <w:sz w:val="28"/>
          <w:szCs w:val="28"/>
          <w:lang w:val="uk-UA"/>
        </w:rPr>
      </w:pPr>
    </w:p>
    <w:p w:rsidR="00205EBE" w:rsidRDefault="00157FC2" w:rsidP="00157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5EBE" w:rsidRPr="00205EBE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60652D" w:rsidRPr="00606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60652D" w:rsidRPr="0090690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ніціативи населення у вирішенні </w:t>
      </w:r>
      <w:r w:rsidR="0060652D" w:rsidRPr="00906904">
        <w:rPr>
          <w:rFonts w:ascii="Times New Roman" w:hAnsi="Times New Roman" w:cs="Times New Roman"/>
          <w:sz w:val="28"/>
          <w:szCs w:val="28"/>
          <w:lang w:val="uk-UA"/>
        </w:rPr>
        <w:t>питань місцевого значення</w:t>
      </w:r>
      <w:r w:rsidR="00B945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BE" w:rsidRPr="00205EB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 52 Закону України «Про місце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205EBE" w:rsidRPr="00205EBE">
        <w:rPr>
          <w:rFonts w:ascii="Times New Roman" w:hAnsi="Times New Roman" w:cs="Times New Roman"/>
          <w:sz w:val="28"/>
          <w:szCs w:val="28"/>
          <w:lang w:val="uk-UA"/>
        </w:rPr>
        <w:t>виконавчий комітет Попаснянської  міської ради</w:t>
      </w:r>
    </w:p>
    <w:p w:rsidR="00F03C39" w:rsidRPr="00205EBE" w:rsidRDefault="00F03C39" w:rsidP="00157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EBE" w:rsidRPr="00205EBE" w:rsidRDefault="00205EBE" w:rsidP="00205E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EBE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05EBE" w:rsidRDefault="00205EBE" w:rsidP="00205EBE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1. Схвалити проект</w:t>
      </w:r>
      <w:r w:rsidR="0060652D" w:rsidRPr="0060652D">
        <w:rPr>
          <w:sz w:val="28"/>
          <w:szCs w:val="28"/>
          <w:lang w:val="uk-UA"/>
        </w:rPr>
        <w:t xml:space="preserve"> </w:t>
      </w:r>
      <w:r w:rsidR="00263882">
        <w:rPr>
          <w:sz w:val="28"/>
          <w:szCs w:val="28"/>
          <w:lang w:val="uk-UA"/>
        </w:rPr>
        <w:t>М</w:t>
      </w:r>
      <w:r w:rsidR="0060652D">
        <w:rPr>
          <w:sz w:val="28"/>
          <w:szCs w:val="28"/>
          <w:lang w:val="uk-UA"/>
        </w:rPr>
        <w:t>іської цільової Програми розвитку місцевого самоврядування та громадського суспільства у  м. Попасна на 2019 рік</w:t>
      </w:r>
      <w:r>
        <w:rPr>
          <w:sz w:val="28"/>
          <w:lang w:val="uk-UA"/>
        </w:rPr>
        <w:t xml:space="preserve"> (додається)</w:t>
      </w:r>
      <w:r w:rsidR="00F03C39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F03C39">
        <w:rPr>
          <w:sz w:val="28"/>
          <w:lang w:val="uk-UA"/>
        </w:rPr>
        <w:t xml:space="preserve"> </w:t>
      </w:r>
    </w:p>
    <w:p w:rsidR="00205EBE" w:rsidRDefault="00263882" w:rsidP="00205EBE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2. Доручити міському голові при затвердженні міського бюджету на 2019 рік включити Міську цільову</w:t>
      </w:r>
      <w:r w:rsidRPr="002638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Програму розвитку місцевого самоврядування та громадського суспільства у  м. Попасна на 2019 рік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переліку міських цільових програм для затвердження.</w:t>
      </w:r>
    </w:p>
    <w:p w:rsidR="00205EBE" w:rsidRDefault="00263882" w:rsidP="00205EBE">
      <w:pPr>
        <w:pStyle w:val="a3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205EBE">
        <w:rPr>
          <w:sz w:val="28"/>
          <w:lang w:val="uk-UA"/>
        </w:rPr>
        <w:t>. Контроль за виконанням даного рішення покласти на заступника міського голови Гапотченко І.В.</w:t>
      </w:r>
    </w:p>
    <w:p w:rsidR="00205EBE" w:rsidRDefault="00205EBE" w:rsidP="00205EBE">
      <w:pPr>
        <w:rPr>
          <w:rFonts w:ascii="Times New Roman" w:hAnsi="Times New Roman"/>
          <w:szCs w:val="24"/>
          <w:lang w:val="uk-UA"/>
        </w:rPr>
      </w:pPr>
    </w:p>
    <w:p w:rsidR="00205EBE" w:rsidRDefault="00205EBE" w:rsidP="00205EBE">
      <w:pPr>
        <w:pStyle w:val="a3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157FC2">
        <w:rPr>
          <w:sz w:val="28"/>
          <w:lang w:val="uk-UA"/>
        </w:rPr>
        <w:tab/>
      </w:r>
      <w:r>
        <w:rPr>
          <w:sz w:val="28"/>
          <w:lang w:val="uk-UA"/>
        </w:rPr>
        <w:t xml:space="preserve">Міський голова                                                         </w:t>
      </w:r>
      <w:r w:rsidR="00157FC2">
        <w:rPr>
          <w:sz w:val="28"/>
          <w:lang w:val="uk-UA"/>
        </w:rPr>
        <w:t xml:space="preserve">             </w:t>
      </w:r>
      <w:r>
        <w:rPr>
          <w:sz w:val="28"/>
          <w:lang w:val="uk-UA"/>
        </w:rPr>
        <w:t>Ю.І. Онищенко</w:t>
      </w:r>
    </w:p>
    <w:p w:rsidR="00205EBE" w:rsidRDefault="00205EBE" w:rsidP="00205EBE">
      <w:pPr>
        <w:pStyle w:val="a3"/>
        <w:rPr>
          <w:lang w:val="uk-UA"/>
        </w:rPr>
      </w:pPr>
    </w:p>
    <w:p w:rsidR="00205EBE" w:rsidRDefault="00205EBE" w:rsidP="00205EBE">
      <w:pPr>
        <w:pStyle w:val="a3"/>
        <w:rPr>
          <w:lang w:val="uk-UA"/>
        </w:rPr>
      </w:pPr>
    </w:p>
    <w:p w:rsidR="00205EBE" w:rsidRDefault="00205EBE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157FC2" w:rsidRDefault="00157FC2" w:rsidP="00205EBE">
      <w:pPr>
        <w:pStyle w:val="a3"/>
        <w:rPr>
          <w:lang w:val="uk-UA"/>
        </w:rPr>
      </w:pPr>
    </w:p>
    <w:p w:rsidR="00205EBE" w:rsidRDefault="00D77860" w:rsidP="00205EBE">
      <w:pPr>
        <w:pStyle w:val="a3"/>
        <w:rPr>
          <w:sz w:val="16"/>
          <w:szCs w:val="16"/>
          <w:lang w:val="uk-UA"/>
        </w:rPr>
      </w:pPr>
      <w:r>
        <w:rPr>
          <w:lang w:val="uk-UA"/>
        </w:rPr>
        <w:t xml:space="preserve"> </w:t>
      </w:r>
    </w:p>
    <w:p w:rsidR="00205EBE" w:rsidRDefault="00205EBE" w:rsidP="00205EBE">
      <w:pPr>
        <w:pStyle w:val="a3"/>
        <w:rPr>
          <w:sz w:val="16"/>
          <w:szCs w:val="16"/>
          <w:lang w:val="uk-UA"/>
        </w:rPr>
      </w:pPr>
    </w:p>
    <w:p w:rsidR="006729D4" w:rsidRPr="00205EBE" w:rsidRDefault="006729D4" w:rsidP="00205EBE">
      <w:pPr>
        <w:pStyle w:val="4"/>
        <w:tabs>
          <w:tab w:val="left" w:pos="6810"/>
        </w:tabs>
        <w:rPr>
          <w:rFonts w:ascii="Times New Roman" w:hAnsi="Times New Roman"/>
          <w:b w:val="0"/>
          <w:bCs w:val="0"/>
          <w:iCs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</w:t>
      </w:r>
      <w:r w:rsidR="00205EBE">
        <w:rPr>
          <w:rFonts w:ascii="Times New Roman" w:hAnsi="Times New Roman"/>
          <w:lang w:val="uk-UA"/>
        </w:rPr>
        <w:t xml:space="preserve">                   </w:t>
      </w:r>
    </w:p>
    <w:p w:rsidR="0060652D" w:rsidRPr="0060652D" w:rsidRDefault="007A67AF" w:rsidP="0060652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  <w:r w:rsidR="007139F8">
        <w:rPr>
          <w:rFonts w:ascii="Times New Roman" w:hAnsi="Times New Roman" w:cs="Times New Roman"/>
          <w:lang w:val="uk-UA"/>
        </w:rPr>
        <w:t xml:space="preserve">                          </w:t>
      </w:r>
      <w:r w:rsidR="00157FC2">
        <w:rPr>
          <w:rFonts w:ascii="Times New Roman" w:hAnsi="Times New Roman" w:cs="Times New Roman"/>
          <w:lang w:val="uk-UA"/>
        </w:rPr>
        <w:t xml:space="preserve"> </w:t>
      </w:r>
      <w:r w:rsidR="0060652D" w:rsidRPr="0060652D">
        <w:rPr>
          <w:rFonts w:ascii="Times New Roman" w:hAnsi="Times New Roman" w:cs="Times New Roman"/>
          <w:sz w:val="28"/>
          <w:lang w:val="uk-UA"/>
        </w:rPr>
        <w:t>Додаток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60652D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Pr="0060652D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60652D" w:rsidRP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60652D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0652D">
        <w:rPr>
          <w:rFonts w:ascii="Times New Roman" w:hAnsi="Times New Roman" w:cs="Times New Roman"/>
          <w:sz w:val="28"/>
          <w:lang w:val="uk-UA"/>
        </w:rPr>
        <w:t>від  18.12.2018 №</w:t>
      </w:r>
      <w:r w:rsidR="00D77860">
        <w:rPr>
          <w:rFonts w:ascii="Times New Roman" w:hAnsi="Times New Roman" w:cs="Times New Roman"/>
          <w:sz w:val="28"/>
          <w:lang w:val="uk-UA"/>
        </w:rPr>
        <w:t xml:space="preserve"> 113</w:t>
      </w:r>
      <w:bookmarkStart w:id="0" w:name="_GoBack"/>
      <w:bookmarkEnd w:id="0"/>
    </w:p>
    <w:p w:rsidR="007A67AF" w:rsidRPr="007A67AF" w:rsidRDefault="007A67AF" w:rsidP="006065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pStyle w:val="Standard"/>
        <w:jc w:val="center"/>
        <w:rPr>
          <w:rFonts w:cs="Times New Roman"/>
          <w:b/>
          <w:bCs/>
          <w:color w:val="000000"/>
          <w:sz w:val="30"/>
          <w:szCs w:val="30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7A67AF" w:rsidRPr="00F03C39" w:rsidRDefault="00205EBE" w:rsidP="007A67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МІСЬКА ЦІЛЬОВА </w:t>
      </w:r>
      <w:r w:rsidR="007A67AF"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ПРОГРАМА </w:t>
      </w:r>
    </w:p>
    <w:p w:rsidR="007A67AF" w:rsidRPr="00F03C39" w:rsidRDefault="007A67AF" w:rsidP="007A67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РОЗВИТКУ МІСЦЕВОГО САМОВРЯДУВАННЯ </w:t>
      </w:r>
      <w:r w:rsidR="00D2446E" w:rsidRPr="00F03C39">
        <w:rPr>
          <w:rFonts w:ascii="Times New Roman" w:hAnsi="Times New Roman" w:cs="Times New Roman"/>
          <w:b/>
          <w:sz w:val="44"/>
          <w:szCs w:val="44"/>
          <w:lang w:val="uk-UA"/>
        </w:rPr>
        <w:t>ТА ГРОМАДСЬКОГО СУСПІЛЬСТВА У М.</w:t>
      </w:r>
      <w:r w:rsidRPr="00F03C39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ПОПАСНА</w:t>
      </w:r>
      <w:r w:rsidR="003A5710" w:rsidRPr="00F03C39">
        <w:rPr>
          <w:rFonts w:ascii="Times New Roman" w:hAnsi="Times New Roman" w:cs="Times New Roman"/>
          <w:b/>
          <w:sz w:val="44"/>
          <w:szCs w:val="44"/>
          <w:lang w:val="uk-UA"/>
        </w:rPr>
        <w:br/>
        <w:t>НА  2019 РІК</w:t>
      </w: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Default="007A67AF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FC2" w:rsidRDefault="00157FC2" w:rsidP="007A67A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67AF" w:rsidRPr="007A67AF" w:rsidRDefault="007A67AF" w:rsidP="007A67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b/>
          <w:sz w:val="28"/>
          <w:szCs w:val="28"/>
          <w:lang w:val="uk-UA"/>
        </w:rPr>
        <w:t>м. Попасна – 2018</w:t>
      </w:r>
      <w:r w:rsidR="00157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729D4" w:rsidRDefault="006729D4" w:rsidP="00157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Паспорт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"/>
        <w:gridCol w:w="2704"/>
        <w:gridCol w:w="6344"/>
      </w:tblGrid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60652D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цільова </w:t>
            </w:r>
            <w:r w:rsid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розвитку місцевого самоврядування та громадського суспільств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м. Попасна на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рік</w:t>
            </w:r>
          </w:p>
        </w:tc>
      </w:tr>
      <w:tr w:rsidR="007A67AF" w:rsidRPr="007A67AF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 для розробки Програми </w:t>
            </w:r>
          </w:p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157FC2" w:rsidP="007A67AF">
            <w:pPr>
              <w:spacing w:after="0"/>
              <w:ind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України;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Закони України:</w:t>
            </w:r>
          </w:p>
          <w:p w:rsidR="00906904" w:rsidRDefault="00906904" w:rsidP="00906904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місцеве самоврядування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Україні»,          «Про статус депутатів </w:t>
            </w:r>
            <w:r w:rsidR="00D37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місцевих рад».</w:t>
            </w:r>
          </w:p>
          <w:p w:rsidR="007A67AF" w:rsidRPr="007A67AF" w:rsidRDefault="007A67AF" w:rsidP="00D373A8">
            <w:pPr>
              <w:spacing w:after="0" w:line="240" w:lineRule="auto"/>
              <w:ind w:left="720" w:right="141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</w:p>
        </w:tc>
      </w:tr>
      <w:tr w:rsidR="007A67AF" w:rsidRPr="00D77860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Розробники 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3A5710" w:rsidP="00157FC2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виконавчого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A67AF"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Попаснянської міської ради</w:t>
            </w:r>
          </w:p>
        </w:tc>
      </w:tr>
      <w:tr w:rsidR="007A67AF" w:rsidRPr="00D77860" w:rsidTr="00EA139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904" w:rsidRPr="006729D4" w:rsidRDefault="00906904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Дана Програма розроблена з метою:</w:t>
            </w:r>
          </w:p>
          <w:p w:rsidR="00906904" w:rsidRDefault="00B94528" w:rsidP="009069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73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 w:rsidR="00906904" w:rsidRP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ніціативи населення у вирішенні </w:t>
            </w:r>
          </w:p>
          <w:p w:rsidR="00906904" w:rsidRDefault="00906904" w:rsidP="0090690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69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місцевого значення;</w:t>
            </w:r>
          </w:p>
          <w:p w:rsidR="00A41760" w:rsidRPr="00A41760" w:rsidRDefault="00A41760" w:rsidP="0090690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B94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</w:t>
            </w:r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органів самоорганізації населення у місті, вдосконалення діяльності вуличних та квартальних комітетів, підвищення ефективності, результативності їх роботи у вирішенні </w:t>
            </w:r>
            <w:proofErr w:type="spellStart"/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життєво</w:t>
            </w:r>
            <w:proofErr w:type="spellEnd"/>
            <w:r w:rsidRPr="00A4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важливих питань мешканців приватного сектора.</w:t>
            </w:r>
          </w:p>
          <w:p w:rsidR="007A67AF" w:rsidRPr="007A67AF" w:rsidRDefault="007A67AF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F03C3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Замовник </w:t>
            </w:r>
            <w:r w:rsidR="00F0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right="14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Попаснянська міська рада</w:t>
            </w:r>
          </w:p>
        </w:tc>
      </w:tr>
      <w:tr w:rsidR="007A67AF" w:rsidRPr="007A67AF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ind w:left="3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рік</w:t>
            </w:r>
          </w:p>
        </w:tc>
      </w:tr>
      <w:tr w:rsidR="007A67AF" w:rsidRPr="00D77860" w:rsidTr="00EA1392">
        <w:trPr>
          <w:trHeight w:val="103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AF" w:rsidRPr="007A67AF" w:rsidRDefault="007A67AF" w:rsidP="007A67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Прогнозовані</w:t>
            </w:r>
            <w:r w:rsidR="00F0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обсяги та джерела фінансування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10" w:rsidRPr="00906904" w:rsidRDefault="00906904" w:rsidP="003A5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  <w:r w:rsidR="003A57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202 000,00 грн.</w:t>
            </w:r>
            <w:r w:rsidRPr="00672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A67AF" w:rsidRPr="00906904" w:rsidRDefault="003A5710" w:rsidP="0090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</w:tbl>
    <w:p w:rsidR="00A41760" w:rsidRPr="005F15F2" w:rsidRDefault="007A67AF" w:rsidP="005F15F2">
      <w:pPr>
        <w:spacing w:after="0"/>
        <w:rPr>
          <w:rFonts w:ascii="Times New Roman" w:hAnsi="Times New Roman" w:cs="Times New Roman"/>
          <w:lang w:val="uk-UA"/>
        </w:rPr>
      </w:pPr>
      <w:r w:rsidRPr="007A67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B477" wp14:editId="0FCCFD32">
                <wp:simplePos x="0" y="0"/>
                <wp:positionH relativeFrom="margin">
                  <wp:posOffset>5891530</wp:posOffset>
                </wp:positionH>
                <wp:positionV relativeFrom="margin">
                  <wp:posOffset>9187815</wp:posOffset>
                </wp:positionV>
                <wp:extent cx="232410" cy="274320"/>
                <wp:effectExtent l="0" t="1905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9B47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63.9pt;margin-top:723.45pt;width:18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729D4" w:rsidRPr="006729D4" w:rsidRDefault="007A67AF" w:rsidP="00F0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4CAF2" wp14:editId="402A7364">
                <wp:simplePos x="0" y="0"/>
                <wp:positionH relativeFrom="margin">
                  <wp:posOffset>6043930</wp:posOffset>
                </wp:positionH>
                <wp:positionV relativeFrom="margin">
                  <wp:posOffset>9340215</wp:posOffset>
                </wp:positionV>
                <wp:extent cx="232410" cy="274320"/>
                <wp:effectExtent l="0" t="1905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7AF" w:rsidRPr="009A0656" w:rsidRDefault="007A67AF" w:rsidP="007A67AF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4CAF2" id="Поле 2" o:spid="_x0000_s1027" type="#_x0000_t202" style="position:absolute;margin-left:475.9pt;margin-top:735.45pt;width:18.3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" stroked="f">
                <v:textbox>
                  <w:txbxContent>
                    <w:p w:rsidR="007A67AF" w:rsidRPr="009A0656" w:rsidRDefault="007A67AF" w:rsidP="007A67AF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Загальні положення</w:t>
      </w:r>
    </w:p>
    <w:p w:rsidR="006729D4" w:rsidRDefault="006729D4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Збереження основних принципів, посилення ролі місцевого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  місцевому рівні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демократичної, ефективної організації упра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вління, запровадження механізму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оптимального самодостатнього фун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кціонування суб’єктів місцевого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самоврядування забезпечує розбудову держави на принципах демократії влади.</w:t>
      </w:r>
    </w:p>
    <w:p w:rsidR="00A41760" w:rsidRPr="006729D4" w:rsidRDefault="00A41760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29D4" w:rsidRPr="006729D4" w:rsidRDefault="0060652D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цільова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розвитку місцевого самоврядування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та громадського суспільства у м. Попасна на 2019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розроб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лена з метою створення належних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умо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в для реалізації територіальною громадою міста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прав і повноважень, виз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начених статтею 140 Конституції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України, Законами України «Про місцеве самоврядування в Україні»,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Європейською Хартією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самоврядування, ра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тифікованою Законом України від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15 липня 1997 року, з урахуванн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ям Указу Президента України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30 серпня 2001 року № 749/2001 «Про держав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ну підтримку розвитку місцевого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і спрямована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на подальший розвиток місцевого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у 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усп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ішне виконання основних завдань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Концепції реформування місцевого самоврядування та тер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иторіальної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організації влади в Україні, схваленої ро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зпорядженням Кабінету Міністрів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України 01 квітня 2014 року № 333-р.</w:t>
      </w:r>
    </w:p>
    <w:p w:rsidR="006729D4" w:rsidRDefault="006729D4" w:rsidP="00A4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відбуватиметься у межах кошторисних видатків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по головних розпорядниках коштів та інших джерел, не заборонених чинним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законодавством, відповідно до заходів, які пла</w:t>
      </w:r>
      <w:r w:rsidR="00A41760">
        <w:rPr>
          <w:rFonts w:ascii="Times New Roman" w:hAnsi="Times New Roman" w:cs="Times New Roman"/>
          <w:sz w:val="28"/>
          <w:szCs w:val="28"/>
          <w:lang w:val="uk-UA"/>
        </w:rPr>
        <w:t>нуються на основі пропозицій на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кожен конкретний рік та розвитку інституційних основ місцевого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>самоврядування.</w:t>
      </w:r>
    </w:p>
    <w:p w:rsidR="00A41760" w:rsidRPr="006729D4" w:rsidRDefault="00A41760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29D4" w:rsidRPr="006729D4" w:rsidRDefault="006729D4" w:rsidP="00F03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8743C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Мета Програми</w:t>
      </w:r>
    </w:p>
    <w:p w:rsid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Дана Програма розроблена з метою:</w:t>
      </w:r>
    </w:p>
    <w:p w:rsidR="008743C1" w:rsidRPr="00F03C39" w:rsidRDefault="00F03C39" w:rsidP="006123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7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8743C1" w:rsidRPr="0090690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43C1" w:rsidRPr="0090690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743C1">
        <w:rPr>
          <w:rFonts w:ascii="Times New Roman" w:hAnsi="Times New Roman" w:cs="Times New Roman"/>
          <w:sz w:val="28"/>
          <w:szCs w:val="28"/>
          <w:lang w:val="uk-UA"/>
        </w:rPr>
        <w:t xml:space="preserve">ніціативи населення у вирішенні </w:t>
      </w:r>
      <w:r w:rsidR="008743C1" w:rsidRPr="00F03C39">
        <w:rPr>
          <w:rFonts w:ascii="Times New Roman" w:hAnsi="Times New Roman" w:cs="Times New Roman"/>
          <w:sz w:val="28"/>
          <w:szCs w:val="28"/>
          <w:lang w:val="uk-UA"/>
        </w:rPr>
        <w:t>питань місцевого значення;</w:t>
      </w:r>
    </w:p>
    <w:p w:rsidR="008743C1" w:rsidRDefault="008743C1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підтримк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органів самоорганізації населення у місті, вдосконалення діяльності вуличних та квартальних комітетів, підвищення ефективності, результативност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 xml:space="preserve">і їх роботи у вирішенні </w:t>
      </w:r>
      <w:proofErr w:type="spellStart"/>
      <w:r w:rsidR="00F03C39">
        <w:rPr>
          <w:rFonts w:ascii="Times New Roman" w:hAnsi="Times New Roman" w:cs="Times New Roman"/>
          <w:sz w:val="28"/>
          <w:szCs w:val="28"/>
          <w:lang w:val="uk-UA"/>
        </w:rPr>
        <w:t>життєво</w:t>
      </w:r>
      <w:proofErr w:type="spellEnd"/>
      <w:r w:rsidR="00F03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важливих питань мешканців приватного сектора.</w:t>
      </w:r>
    </w:p>
    <w:p w:rsidR="003214E5" w:rsidRPr="006729D4" w:rsidRDefault="003214E5" w:rsidP="0087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6729D4" w:rsidRDefault="006729D4" w:rsidP="0061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8743C1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Завдання та заходи Програми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Задля досягнення мети Програми планується виконати ряд завдань та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на:</w:t>
      </w:r>
    </w:p>
    <w:p w:rsidR="006729D4" w:rsidRP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підвищення а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ктивності жителів територіальної</w:t>
      </w:r>
      <w:r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и міста Попасна;</w:t>
      </w:r>
    </w:p>
    <w:p w:rsidR="006729D4" w:rsidRPr="006729D4" w:rsidRDefault="003214E5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міського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проектів розвитку територіальної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ромад</w:t>
      </w:r>
      <w:r>
        <w:rPr>
          <w:rFonts w:ascii="Times New Roman" w:hAnsi="Times New Roman" w:cs="Times New Roman"/>
          <w:sz w:val="28"/>
          <w:szCs w:val="28"/>
          <w:lang w:val="uk-UA"/>
        </w:rPr>
        <w:t>и міста Попасна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29D4" w:rsidRDefault="006729D4" w:rsidP="0061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- організацію громадських та соціальних заходів;</w:t>
      </w:r>
    </w:p>
    <w:p w:rsidR="003214E5" w:rsidRP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роботи вуличних та квартальних комітетів;</w:t>
      </w:r>
    </w:p>
    <w:p w:rsidR="003214E5" w:rsidRP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заохочення мешканців міста до роботи в органах самоорганізації населення;</w:t>
      </w:r>
    </w:p>
    <w:p w:rsidR="003214E5" w:rsidRDefault="003214E5" w:rsidP="0061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координаці</w:t>
      </w:r>
      <w:r w:rsidR="00F03C3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роботи голів вуличних та квартальних комітетів з громадою.</w:t>
      </w:r>
    </w:p>
    <w:p w:rsidR="005C6BA2" w:rsidRPr="006729D4" w:rsidRDefault="005C6BA2" w:rsidP="0032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6729D4" w:rsidRDefault="003214E5" w:rsidP="0061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V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Фінансове забезпечення Програми</w:t>
      </w:r>
    </w:p>
    <w:p w:rsidR="006729D4" w:rsidRP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ється за рахунок коштів міського</w:t>
      </w:r>
    </w:p>
    <w:p w:rsidR="006729D4" w:rsidRDefault="00F03C39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214E5">
        <w:rPr>
          <w:rFonts w:ascii="Times New Roman" w:hAnsi="Times New Roman" w:cs="Times New Roman"/>
          <w:sz w:val="28"/>
          <w:szCs w:val="28"/>
          <w:lang w:val="uk-UA"/>
        </w:rPr>
        <w:t>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рік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джерел відповідно до чинного законодавства України в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9D4" w:rsidRPr="006729D4">
        <w:rPr>
          <w:rFonts w:ascii="Times New Roman" w:hAnsi="Times New Roman" w:cs="Times New Roman"/>
          <w:sz w:val="28"/>
          <w:szCs w:val="28"/>
          <w:lang w:val="uk-UA"/>
        </w:rPr>
        <w:t>рамках запланованих заходів.</w:t>
      </w:r>
      <w:r w:rsidR="003A5710">
        <w:rPr>
          <w:rFonts w:ascii="Times New Roman" w:hAnsi="Times New Roman" w:cs="Times New Roman"/>
          <w:sz w:val="28"/>
          <w:szCs w:val="28"/>
          <w:lang w:val="uk-UA"/>
        </w:rPr>
        <w:t xml:space="preserve"> Обсяг фінансування 202 000,00 грн., з них:</w:t>
      </w:r>
    </w:p>
    <w:p w:rsidR="00D073B2" w:rsidRPr="00D073B2" w:rsidRDefault="003A5710" w:rsidP="00D073B2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D073B2" w:rsidRPr="00D073B2">
        <w:rPr>
          <w:rFonts w:ascii="Times New Roman" w:hAnsi="Times New Roman" w:cs="Times New Roman"/>
          <w:sz w:val="28"/>
          <w:szCs w:val="28"/>
          <w:lang w:val="uk-UA"/>
        </w:rPr>
        <w:t> 000,00 грн. – фінансування міського конкурсу проектів та програм</w:t>
      </w:r>
    </w:p>
    <w:p w:rsidR="00D073B2" w:rsidRPr="003214E5" w:rsidRDefault="00D073B2" w:rsidP="00D073B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3B2">
        <w:rPr>
          <w:rFonts w:ascii="Times New Roman" w:hAnsi="Times New Roman" w:cs="Times New Roman"/>
          <w:sz w:val="28"/>
          <w:szCs w:val="28"/>
          <w:lang w:val="uk-UA"/>
        </w:rPr>
        <w:t>розвитку місцевого самоврядування та громадянського суспільства</w:t>
      </w:r>
      <w:r w:rsidR="00D81C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710" w:rsidRDefault="00D073B2" w:rsidP="003A57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19 000,00 грн. – </w:t>
      </w:r>
      <w:r w:rsidR="00612315">
        <w:rPr>
          <w:rFonts w:ascii="Times New Roman" w:hAnsi="Times New Roman" w:cs="Times New Roman"/>
          <w:sz w:val="28"/>
          <w:szCs w:val="28"/>
          <w:lang w:val="uk-UA"/>
        </w:rPr>
        <w:t>передплата газети «</w:t>
      </w:r>
      <w:proofErr w:type="spellStart"/>
      <w:r w:rsidR="00612315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="00612315">
        <w:rPr>
          <w:rFonts w:ascii="Times New Roman" w:hAnsi="Times New Roman" w:cs="Times New Roman"/>
          <w:sz w:val="28"/>
          <w:szCs w:val="28"/>
          <w:lang w:val="uk-UA"/>
        </w:rPr>
        <w:t xml:space="preserve"> вісник» для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вуличних та квартальних коміт</w:t>
      </w:r>
      <w:r w:rsidR="00157FC2">
        <w:rPr>
          <w:rFonts w:ascii="Times New Roman" w:hAnsi="Times New Roman" w:cs="Times New Roman"/>
          <w:sz w:val="28"/>
          <w:szCs w:val="28"/>
          <w:lang w:val="uk-UA"/>
        </w:rPr>
        <w:t>етів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D073B2" w:rsidP="003A5710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24 830,00 грн. – одноразове матеріальне заохочення голів вуличних та квартальних комітетів;</w:t>
      </w:r>
    </w:p>
    <w:p w:rsidR="003214E5" w:rsidRDefault="00D073B2" w:rsidP="006729D4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73A8">
        <w:rPr>
          <w:rFonts w:ascii="Times New Roman" w:hAnsi="Times New Roman" w:cs="Times New Roman"/>
          <w:sz w:val="28"/>
          <w:szCs w:val="28"/>
          <w:lang w:val="uk-UA"/>
        </w:rPr>
        <w:t xml:space="preserve">8 170,00 грн. – 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>придбання канцелярських товарів.</w:t>
      </w:r>
    </w:p>
    <w:p w:rsidR="00D373A8" w:rsidRPr="00D373A8" w:rsidRDefault="00D373A8" w:rsidP="00D373A8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6BA2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VІ</w:t>
      </w:r>
      <w:r w:rsidR="006729D4" w:rsidRPr="006729D4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Очікувані результати</w:t>
      </w:r>
    </w:p>
    <w:p w:rsidR="006729D4" w:rsidRDefault="006729D4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29D4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дозволить: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до вирішення проблем територіальної громади;</w:t>
      </w:r>
    </w:p>
    <w:p w:rsidR="003214E5" w:rsidRPr="00A41760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вирішувати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м. </w:t>
      </w:r>
      <w:r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D81C66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>ського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73B2" w:rsidRDefault="003214E5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="00D073B2">
        <w:rPr>
          <w:rFonts w:ascii="Times New Roman" w:hAnsi="Times New Roman" w:cs="Times New Roman"/>
          <w:sz w:val="28"/>
          <w:szCs w:val="28"/>
          <w:lang w:val="uk-UA"/>
        </w:rPr>
        <w:t xml:space="preserve"> авторитет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голів квартальних та вуличних комітетів серед населення міста; </w:t>
      </w:r>
    </w:p>
    <w:p w:rsidR="00D073B2" w:rsidRDefault="00D073B2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покращити роботу</w:t>
      </w:r>
      <w:r w:rsidR="003214E5"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щодо самоорганізації населення; </w:t>
      </w:r>
    </w:p>
    <w:p w:rsidR="003214E5" w:rsidRPr="00A41760" w:rsidRDefault="00153CED" w:rsidP="003214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підвищити</w:t>
      </w:r>
      <w:r w:rsidRPr="00A41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4E5" w:rsidRPr="00A41760">
        <w:rPr>
          <w:rFonts w:ascii="Times New Roman" w:hAnsi="Times New Roman" w:cs="Times New Roman"/>
          <w:sz w:val="28"/>
          <w:szCs w:val="28"/>
          <w:lang w:val="uk-UA"/>
        </w:rPr>
        <w:t>розвиток місцевого самоврядування у місті.</w:t>
      </w:r>
    </w:p>
    <w:p w:rsidR="003214E5" w:rsidRPr="006729D4" w:rsidRDefault="003214E5" w:rsidP="00672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22" w:type="dxa"/>
              <w:tblLook w:val="04A0" w:firstRow="1" w:lastRow="0" w:firstColumn="1" w:lastColumn="0" w:noHBand="0" w:noVBand="1"/>
            </w:tblPr>
            <w:tblGrid>
              <w:gridCol w:w="1854"/>
              <w:gridCol w:w="510"/>
              <w:gridCol w:w="610"/>
            </w:tblGrid>
            <w:tr w:rsidR="006026F8">
              <w:trPr>
                <w:tblCellSpacing w:w="22" w:type="dxa"/>
              </w:trPr>
              <w:tc>
                <w:tcPr>
                  <w:tcW w:w="23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6026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Показники</w:t>
                  </w:r>
                </w:p>
              </w:tc>
              <w:tc>
                <w:tcPr>
                  <w:tcW w:w="6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  <w:bookmarkStart w:id="1" w:name="640"/>
                  <w:bookmarkEnd w:id="1"/>
                </w:p>
              </w:tc>
              <w:tc>
                <w:tcPr>
                  <w:tcW w:w="7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26F8" w:rsidRPr="006026F8" w:rsidRDefault="006026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Одиниця виміру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  <w:t>(тис. грн.)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2019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 w:rsidP="00936C2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Показники </w:t>
            </w:r>
            <w:r w:rsidR="00936C22">
              <w:rPr>
                <w:b/>
                <w:bCs/>
                <w:sz w:val="28"/>
                <w:szCs w:val="28"/>
                <w:lang w:val="uk-UA"/>
              </w:rPr>
              <w:t>витрат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Обсяг фінансування заходів: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 xml:space="preserve">за напрямом сприяння </w:t>
            </w:r>
            <w:r w:rsidR="00153CED">
              <w:rPr>
                <w:sz w:val="28"/>
                <w:szCs w:val="28"/>
                <w:lang w:val="uk-UA"/>
              </w:rPr>
              <w:t>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продукту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Кількість запланованих заходів: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936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6026F8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936C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</w:t>
            </w:r>
            <w:r w:rsidR="006026F8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Показники ефективності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Вартість одного заходу: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Показники якості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Динаміка кількості проведених заходів порівняно з базовим (2018) роком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F8" w:rsidRDefault="006026F8">
            <w:pPr>
              <w:rPr>
                <w:sz w:val="28"/>
                <w:szCs w:val="28"/>
                <w:lang w:val="uk-UA"/>
              </w:rPr>
            </w:pP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</w:t>
            </w:r>
            <w:r w:rsidR="00153CED">
              <w:rPr>
                <w:sz w:val="28"/>
                <w:szCs w:val="28"/>
                <w:lang w:val="uk-UA"/>
              </w:rPr>
              <w:t>рямом сприяння розвитку громад</w:t>
            </w:r>
            <w:r>
              <w:rPr>
                <w:sz w:val="28"/>
                <w:szCs w:val="28"/>
                <w:lang w:val="uk-UA"/>
              </w:rPr>
              <w:t>ського суспільства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026F8" w:rsidTr="006026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153CE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uk-UA"/>
              </w:rPr>
              <w:t>за напрямом сприяння діяльності голів вуличних та квартальних комітетів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F8" w:rsidRDefault="006026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026F8" w:rsidRDefault="006026F8" w:rsidP="006026F8">
      <w:pPr>
        <w:rPr>
          <w:rFonts w:eastAsia="Times New Roman"/>
          <w:sz w:val="28"/>
          <w:szCs w:val="28"/>
          <w:lang w:val="uk-UA"/>
        </w:rPr>
      </w:pPr>
    </w:p>
    <w:p w:rsidR="009A575C" w:rsidRDefault="00D77860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Pr="00D2446E" w:rsidRDefault="00936C22" w:rsidP="006729D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3214E5" w:rsidRDefault="003214E5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6BA2" w:rsidRDefault="005C6BA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3882" w:rsidRDefault="0026388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15F2" w:rsidRDefault="005F15F2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81C66" w:rsidRDefault="00D81C66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73A8" w:rsidRDefault="00D373A8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026F8" w:rsidRDefault="006026F8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3CED" w:rsidRDefault="00153CED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3CED" w:rsidRDefault="00153CED" w:rsidP="006729D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4E5" w:rsidRPr="007A67AF" w:rsidRDefault="003214E5" w:rsidP="003214E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</w:t>
      </w:r>
      <w:r w:rsidR="0060652D">
        <w:rPr>
          <w:rFonts w:ascii="Times New Roman" w:hAnsi="Times New Roman" w:cs="Times New Roman"/>
          <w:lang w:val="uk-UA"/>
        </w:rPr>
        <w:t xml:space="preserve">                  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0652D" w:rsidRDefault="003214E5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 w:rsidRPr="007A67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7A67A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63882">
        <w:rPr>
          <w:rFonts w:ascii="Times New Roman" w:hAnsi="Times New Roman" w:cs="Times New Roman"/>
          <w:sz w:val="28"/>
          <w:szCs w:val="28"/>
          <w:lang w:val="uk-UA"/>
        </w:rPr>
        <w:t>Міської цільової</w:t>
      </w:r>
      <w:r w:rsidR="0060652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638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місцевого  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самоврядування та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громадського суспільства у   </w:t>
      </w:r>
    </w:p>
    <w:p w:rsidR="0060652D" w:rsidRDefault="0060652D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м. Попасна на 2019 рік</w:t>
      </w:r>
    </w:p>
    <w:p w:rsidR="00D81C66" w:rsidRPr="0060652D" w:rsidRDefault="00D81C66" w:rsidP="0060652D">
      <w:pPr>
        <w:spacing w:after="0"/>
        <w:ind w:left="2832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про міський конкурс проектів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розвитку місц</w:t>
      </w:r>
      <w:r w:rsidR="00153CED">
        <w:rPr>
          <w:rFonts w:ascii="Times New Roman" w:hAnsi="Times New Roman" w:cs="Times New Roman"/>
          <w:b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b/>
          <w:sz w:val="28"/>
          <w:szCs w:val="28"/>
          <w:lang w:val="uk-UA"/>
        </w:rPr>
        <w:t>ського суспільства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1.Загальні питання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1.1. Цим Положенням регулюється процедура проведення міського конкурсу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ського суспільства (далі – Конкурс).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1.2. Метою Конкурсу є відбір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 (далі – проекти та програми), які фінансуються за рахунок коштів міського бюджету і спрямовані на розв'язання актуальних проблем розвитку місцевого самоврядування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, діяльності інститутів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 та поширення позитивного досвіду, набутого у процесі їх реалізації.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1.3. Учасниками Конкурсу є громадські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органи самоорганізації населення, 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 групи.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Конкурс проводиться у номінаціях:</w:t>
      </w:r>
    </w:p>
    <w:p w:rsidR="003214E5" w:rsidRPr="003214E5" w:rsidRDefault="003214E5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3214E5">
        <w:rPr>
          <w:rStyle w:val="rvts7"/>
          <w:color w:val="000000"/>
          <w:sz w:val="28"/>
          <w:szCs w:val="28"/>
          <w:lang w:val="uk-UA"/>
        </w:rPr>
        <w:t>проекти громадських</w:t>
      </w:r>
      <w:r w:rsidR="00485E41">
        <w:rPr>
          <w:rStyle w:val="rvts7"/>
          <w:color w:val="000000"/>
          <w:sz w:val="28"/>
          <w:szCs w:val="28"/>
          <w:lang w:val="uk-UA"/>
        </w:rPr>
        <w:t>, благодійних</w:t>
      </w:r>
      <w:r w:rsidRPr="003214E5">
        <w:rPr>
          <w:rStyle w:val="rvts7"/>
          <w:color w:val="000000"/>
          <w:sz w:val="28"/>
          <w:szCs w:val="28"/>
          <w:lang w:val="uk-UA"/>
        </w:rPr>
        <w:t xml:space="preserve"> організацій;</w:t>
      </w:r>
    </w:p>
    <w:p w:rsidR="003214E5" w:rsidRPr="003214E5" w:rsidRDefault="003214E5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 w:rsidRPr="003214E5">
        <w:rPr>
          <w:rStyle w:val="rvts7"/>
          <w:color w:val="000000"/>
          <w:sz w:val="28"/>
          <w:szCs w:val="28"/>
          <w:lang w:val="uk-UA"/>
        </w:rPr>
        <w:t xml:space="preserve">проекти квартальних </w:t>
      </w:r>
      <w:r w:rsidR="00485E41">
        <w:rPr>
          <w:rStyle w:val="rvts7"/>
          <w:color w:val="000000"/>
          <w:sz w:val="28"/>
          <w:szCs w:val="28"/>
          <w:lang w:val="uk-UA"/>
        </w:rPr>
        <w:t xml:space="preserve">та вуличних </w:t>
      </w:r>
      <w:r w:rsidRPr="003214E5">
        <w:rPr>
          <w:rStyle w:val="rvts7"/>
          <w:color w:val="000000"/>
          <w:sz w:val="28"/>
          <w:szCs w:val="28"/>
          <w:lang w:val="uk-UA"/>
        </w:rPr>
        <w:t>комітетів, об’єднань співвласн</w:t>
      </w:r>
      <w:r w:rsidR="00485E41">
        <w:rPr>
          <w:rStyle w:val="rvts7"/>
          <w:color w:val="000000"/>
          <w:sz w:val="28"/>
          <w:szCs w:val="28"/>
          <w:lang w:val="uk-UA"/>
        </w:rPr>
        <w:t>иків багатоквартирних будинків</w:t>
      </w:r>
      <w:r w:rsidRPr="003214E5">
        <w:rPr>
          <w:rStyle w:val="rvts7"/>
          <w:color w:val="000000"/>
          <w:sz w:val="28"/>
          <w:szCs w:val="28"/>
          <w:lang w:val="uk-UA"/>
        </w:rPr>
        <w:t>;</w:t>
      </w:r>
    </w:p>
    <w:p w:rsidR="003214E5" w:rsidRPr="003214E5" w:rsidRDefault="00485E41" w:rsidP="003214E5">
      <w:pPr>
        <w:pStyle w:val="rvps21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>проекти ініціативних груп</w:t>
      </w:r>
      <w:r w:rsidR="003214E5" w:rsidRPr="003214E5">
        <w:rPr>
          <w:rStyle w:val="rvts7"/>
          <w:color w:val="000000"/>
          <w:sz w:val="28"/>
          <w:szCs w:val="28"/>
          <w:lang w:val="uk-UA"/>
        </w:rPr>
        <w:t>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1.4. Основні завдання Конкурсу: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поглиблення співпраці органів місцевого самоврядування та громадських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 xml:space="preserve">, благодійних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організацій, органів самоорганізації населення</w:t>
      </w:r>
      <w:r w:rsidR="00485E41">
        <w:rPr>
          <w:rFonts w:ascii="Times New Roman" w:hAnsi="Times New Roman" w:cs="Times New Roman"/>
          <w:sz w:val="28"/>
          <w:szCs w:val="28"/>
          <w:lang w:val="uk-UA"/>
        </w:rPr>
        <w:t>, ініціативних груп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створення фонду підтримки перспективних проектів та програм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та поширення досвіду роботи, спрямованої на </w:t>
      </w:r>
      <w:r w:rsidR="006C0307" w:rsidRPr="003214E5">
        <w:rPr>
          <w:rFonts w:ascii="Times New Roman" w:hAnsi="Times New Roman" w:cs="Times New Roman"/>
          <w:sz w:val="28"/>
          <w:szCs w:val="28"/>
          <w:lang w:val="uk-UA"/>
        </w:rPr>
        <w:t>розв’язання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проблем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суспільства;</w:t>
      </w:r>
    </w:p>
    <w:p w:rsidR="003214E5" w:rsidRPr="003214E5" w:rsidRDefault="003214E5" w:rsidP="003214E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відбір проектів та програм з метою надання за рахунок коштів міського бюджету фінансової підтримки для розвитку місц</w:t>
      </w:r>
      <w:r w:rsidR="00153CED">
        <w:rPr>
          <w:rFonts w:ascii="Times New Roman" w:hAnsi="Times New Roman" w:cs="Times New Roman"/>
          <w:sz w:val="28"/>
          <w:szCs w:val="28"/>
          <w:lang w:val="uk-UA"/>
        </w:rPr>
        <w:t>евого самоврядування та громад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ського суспільства.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1.5. Проекти та програми розробляються учасниками Конкурсу за напрямами їх діяльності на їх розсуд.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2.Організаційне забезпечення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Для організації Конкурсу утворюється Конкурсна комісія.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2.2. Конкурсна комісія здійснює загальне керівництво щодо організації та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Конку</w:t>
      </w:r>
      <w:r w:rsidR="00D373A8">
        <w:rPr>
          <w:rFonts w:ascii="Times New Roman" w:hAnsi="Times New Roman" w:cs="Times New Roman"/>
          <w:sz w:val="28"/>
          <w:szCs w:val="28"/>
          <w:lang w:val="uk-UA"/>
        </w:rPr>
        <w:t xml:space="preserve">рсна комісія діє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міський голова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заступник голови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заступник міського голови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73A8" w:rsidRPr="00D373A8" w:rsidRDefault="00D373A8" w:rsidP="00D373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Конкурсної Комісії - начальник організаційного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Конкурсної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 комісії – начальник фінансово-господарського відділу виконкому міської ради;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 господарства, архітектури, містобудування та землеустрою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член Конкурсн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ої комісії – начальник юридичного відділу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– голова постійної комісії</w:t>
      </w:r>
      <w:r w:rsidR="006C0307" w:rsidRPr="006C0307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hyperlink r:id="rId8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6C0307" w:rsidRDefault="003214E5" w:rsidP="003214E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член Конкурсної комісії – голова постійної комісії </w:t>
      </w:r>
      <w:hyperlink r:id="rId9" w:history="1">
        <w:r w:rsidR="006C0307" w:rsidRPr="006C03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з питань транспорту, зв’язку та благоустрою, земельних  відносин та охорони довкілля</w:t>
        </w:r>
      </w:hyperlink>
      <w:r w:rsidRPr="006C03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Формою роботи Конкурсної комісії є засідання, яке проводить її голова, а в разі його відсутності заступник голови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Засідання Конкурсної комісії є правомочним, якщо на ньому присутні більше як половина її членів.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Під час засідання конкурсної комісії секретарем Конкурсної комісії ведеться протокол, який підписується головою Конкурсної комісії та секретарем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2.3. Голова, заступник голови, секретар та члени Конкурсної комісії здійснюють свої повноваження на громадських засадах.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Голова Конкурсної комісії має право вносити на розгляд міської ради пропозиції щодо внесення у разі потреби змін до складу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2.4. Конкурсна комісія: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затверджує план здійснення необхідних організаційно-технічних заходів з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2) визначає обсяги фінансування заходів у рамках організації та проведення Конкурсу у межах коштів, передбачених в міському бюджеті та погоджує кошториси відповідних витрат;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контроль за діяльністю Робочого органу;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розглядає і затверджує документи, підготовлені Робочим органом;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визначає переможців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надає консультаційну та організаційну підтримку Робочому органу з питань його проведення;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веде протоколи своїх засідань.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2.5.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2.6. Робочим органом Конкурсу є 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>організаційний відділ виконкому міської ради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(далі – Робочий орган).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2.7. Робочий орган: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1) забезпечує підготовку і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2) подає на погодження Конкурсної комісії пропозиції щодо кошторису витрат на здійснення відповідних заходів;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3) здійснює забезпечення діяльності Конкурсної комісії та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4) надає методичні рекомендації, консультації щодо організації, умов та порядку проведення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5) проводить семінари з учасниками та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6) опубліковує у засобах масової інформації текст Положення про Конкурс, форму заяви на участь у Конкурсі, вимоги до розроблення проектів та програм, додаткові коментарі тощо;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7) здійснює моніторинг реалізації проектів та програм;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8) аналізує соціально-економічні наслідки реалізації проектів та виконання програм за звітами, що подаються переможцями Конкурсу;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9) інформує громадськість про соціально-економічні наслідки реалізованих проектів та програм.</w:t>
      </w:r>
    </w:p>
    <w:p w:rsidR="003214E5" w:rsidRPr="003214E5" w:rsidRDefault="003214E5" w:rsidP="003214E5">
      <w:pPr>
        <w:autoSpaceDE w:val="0"/>
        <w:autoSpaceDN w:val="0"/>
        <w:adjustRightInd w:val="0"/>
        <w:spacing w:after="0" w:line="240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3. Процедура Конкурсу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3.1. Підставою для оголошення Конкурсу є рішення Конкурсної комісії.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Офіційне повідомлення про початок Конкурсу та умови його проведення публік</w:t>
      </w:r>
      <w:r w:rsidR="006C0307">
        <w:rPr>
          <w:rFonts w:ascii="Times New Roman" w:hAnsi="Times New Roman" w:cs="Times New Roman"/>
          <w:sz w:val="28"/>
          <w:szCs w:val="28"/>
          <w:lang w:val="uk-UA"/>
        </w:rPr>
        <w:t xml:space="preserve">уються в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та на веб-сторінці міської ради із зазначенням кінцевого строку подання заяв, проектів та програм на участь у ньому, не пізніше ніж за 20 днів до дати початку проведення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3.2. Розроблення проектів та програм, що подаються на Конкурс, здійснюється учасниками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3.3. У процесі підготовки проектів та програм їх розробники мають право звертатися у разі потреби до Робочого органу для одержання додаткової інформації.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ознайомлення з умовами Конкурсу Робочий орган проводить навчальні семінари: презентаційний – для всіх потенційних учасників Конкурсу та підсумковий</w:t>
      </w:r>
      <w:r w:rsidRPr="003214E5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– для переможців Конкурсу.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 3.4. Робочий орган розпочинає приймання документів на участь у Конкурсі з дня опублікування офіційного повідомлення. Необхідні документи подаються протягом 30-ти днів з початку оголошення конкурсу. Документи подані пізніше 30-ти днів з початку оголошення конкурсу Робочим органом не розглядаються.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Для участі у Конкурсі подаються наступні документи: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заява учасника на участь у Конкурсі;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копія витягу з Єдиного державного реєстру юридичних осіб та фізичних осіб-підприємців;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Style w:val="rvts7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громадських та благодійних організацій рішення ДПІ про внесення учасника до</w:t>
      </w:r>
      <w:r w:rsidRPr="003214E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3214E5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Реєстру неприбуткових установ та організацій;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опис проекту чи програми;</w:t>
      </w:r>
    </w:p>
    <w:p w:rsidR="003214E5" w:rsidRPr="003214E5" w:rsidRDefault="003214E5" w:rsidP="003214E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кошторис (бюджет) проекту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3.5. Робочий орган приймає документи на участь у Конкурсі та подає Конкурсній Комісії для визначення його переможців.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3.6. Не пізніше одного місяця з кінцевої дати подання документів на участь у Конкурсі, Конкурсна комісія приймає остаточне рішення про результати Конкурсу. Конкурсна комісія може прийняти рішення про визначення переможця (переможців) у кожній номінації та/або визнання номінації (номінацій) без переможця.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3.7. Рішення Конкурсної комісії є підставою для оголошення результатів Конкурсу.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3.8. Протягом десяти днів після прийняття відповідного рішення Конкурсною комісією Робочий орган надсилає усім його учасникам повідомлення про результати Конкурсу.</w:t>
      </w:r>
    </w:p>
    <w:p w:rsidR="003214E5" w:rsidRDefault="003214E5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3.9. Повідомлення про результати Конкурсу публік</w:t>
      </w:r>
      <w:r w:rsidR="008E0B6F">
        <w:rPr>
          <w:rFonts w:ascii="Times New Roman" w:hAnsi="Times New Roman" w:cs="Times New Roman"/>
          <w:sz w:val="28"/>
          <w:szCs w:val="28"/>
          <w:lang w:val="uk-UA"/>
        </w:rPr>
        <w:t xml:space="preserve">ується у газеті </w:t>
      </w:r>
      <w:r w:rsidRPr="003214E5">
        <w:rPr>
          <w:rFonts w:ascii="Times New Roman" w:hAnsi="Times New Roman" w:cs="Times New Roman"/>
          <w:sz w:val="28"/>
          <w:szCs w:val="28"/>
          <w:lang w:val="uk-UA"/>
        </w:rPr>
        <w:t>та на офіційній веб-сторінці міської ради.</w:t>
      </w:r>
    </w:p>
    <w:p w:rsidR="00157FC2" w:rsidRPr="003214E5" w:rsidRDefault="00157FC2" w:rsidP="003214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Розділ 4. Реалізація проектів та програм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4.1. Реалізація переможцями проектів та програм Конкурсу відбувається відповідно до заходів передбачених у проектах та програмах.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lastRenderedPageBreak/>
        <w:t>4.2. Робочий орган здійснює поточний та підсумковий контроль за реалізацією переможцем проекту чи програми.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 xml:space="preserve">4.3. Переможець зобов’язаний на вимогу Робочого органу надати всі необхідні документи, що стосуються реалізації проекту чи програми. </w:t>
      </w:r>
    </w:p>
    <w:p w:rsidR="003214E5" w:rsidRPr="003214E5" w:rsidRDefault="003214E5" w:rsidP="003214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4.4. За підсумками реалізації проекту чи програми, переможець надає описовий та фінансовий звіт.</w:t>
      </w:r>
    </w:p>
    <w:p w:rsidR="00D2446E" w:rsidRDefault="003214E5" w:rsidP="00157F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E5">
        <w:rPr>
          <w:rFonts w:ascii="Times New Roman" w:hAnsi="Times New Roman" w:cs="Times New Roman"/>
          <w:sz w:val="28"/>
          <w:szCs w:val="28"/>
          <w:lang w:val="uk-UA"/>
        </w:rPr>
        <w:t>4.5. Робочий орган оприлюднює інформацію про підтримані та реалізовані проекти на офіційній веб-сторінці міської ради</w:t>
      </w: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P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Default="00D2446E" w:rsidP="00D24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446E" w:rsidRPr="00D2446E" w:rsidRDefault="00D2446E" w:rsidP="00D2446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="00CD5971">
        <w:rPr>
          <w:rFonts w:ascii="Times New Roman" w:hAnsi="Times New Roman" w:cs="Times New Roman"/>
          <w:bCs/>
          <w:sz w:val="28"/>
          <w:szCs w:val="28"/>
          <w:lang w:val="uk-UA"/>
        </w:rPr>
        <w:t>Міський голова                                                             Ю.І.Онищенко</w:t>
      </w:r>
    </w:p>
    <w:p w:rsidR="003214E5" w:rsidRPr="00D2446E" w:rsidRDefault="003214E5" w:rsidP="00D2446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4E5" w:rsidRP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84"/>
    <w:multiLevelType w:val="hybridMultilevel"/>
    <w:tmpl w:val="00E23BF8"/>
    <w:lvl w:ilvl="0" w:tplc="D1AE9B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32380"/>
    <w:multiLevelType w:val="hybridMultilevel"/>
    <w:tmpl w:val="DED2D2AC"/>
    <w:lvl w:ilvl="0" w:tplc="3740E878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7F1763"/>
    <w:multiLevelType w:val="hybridMultilevel"/>
    <w:tmpl w:val="E66EC33A"/>
    <w:lvl w:ilvl="0" w:tplc="2DE0365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48B5"/>
    <w:multiLevelType w:val="hybridMultilevel"/>
    <w:tmpl w:val="3A3A422C"/>
    <w:lvl w:ilvl="0" w:tplc="81AE71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1672F"/>
    <w:multiLevelType w:val="hybridMultilevel"/>
    <w:tmpl w:val="6978890E"/>
    <w:lvl w:ilvl="0" w:tplc="AB1258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929A5"/>
    <w:multiLevelType w:val="hybridMultilevel"/>
    <w:tmpl w:val="130C1412"/>
    <w:lvl w:ilvl="0" w:tplc="CD06FD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D0761"/>
    <w:multiLevelType w:val="hybridMultilevel"/>
    <w:tmpl w:val="A9107EB0"/>
    <w:lvl w:ilvl="0" w:tplc="AB125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1FA4"/>
    <w:multiLevelType w:val="hybridMultilevel"/>
    <w:tmpl w:val="A3569C70"/>
    <w:lvl w:ilvl="0" w:tplc="486A6CFE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7C49"/>
    <w:multiLevelType w:val="hybridMultilevel"/>
    <w:tmpl w:val="9096665A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84C30"/>
    <w:multiLevelType w:val="hybridMultilevel"/>
    <w:tmpl w:val="48EE6A26"/>
    <w:lvl w:ilvl="0" w:tplc="089E1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4098D"/>
    <w:multiLevelType w:val="hybridMultilevel"/>
    <w:tmpl w:val="0A0CBA7E"/>
    <w:lvl w:ilvl="0" w:tplc="A5AE71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6B2EB0"/>
    <w:multiLevelType w:val="hybridMultilevel"/>
    <w:tmpl w:val="9CF00E92"/>
    <w:lvl w:ilvl="0" w:tplc="A5AE71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EE33E0"/>
    <w:multiLevelType w:val="hybridMultilevel"/>
    <w:tmpl w:val="B03219D0"/>
    <w:lvl w:ilvl="0" w:tplc="A5AE7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22B7"/>
    <w:multiLevelType w:val="hybridMultilevel"/>
    <w:tmpl w:val="FB269DD0"/>
    <w:lvl w:ilvl="0" w:tplc="A330D0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02A72"/>
    <w:multiLevelType w:val="hybridMultilevel"/>
    <w:tmpl w:val="274E1E7E"/>
    <w:lvl w:ilvl="0" w:tplc="CC5C78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41F29"/>
    <w:multiLevelType w:val="hybridMultilevel"/>
    <w:tmpl w:val="B866A6CC"/>
    <w:lvl w:ilvl="0" w:tplc="7FA2C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17">
    <w:nsid w:val="7D405D20"/>
    <w:multiLevelType w:val="hybridMultilevel"/>
    <w:tmpl w:val="E120241A"/>
    <w:lvl w:ilvl="0" w:tplc="AB12585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7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AE"/>
    <w:rsid w:val="000D5D24"/>
    <w:rsid w:val="00153CED"/>
    <w:rsid w:val="00157FC2"/>
    <w:rsid w:val="001744AE"/>
    <w:rsid w:val="00205EBE"/>
    <w:rsid w:val="00263882"/>
    <w:rsid w:val="003214E5"/>
    <w:rsid w:val="003A5710"/>
    <w:rsid w:val="00485E41"/>
    <w:rsid w:val="005C6BA2"/>
    <w:rsid w:val="005F15F2"/>
    <w:rsid w:val="006026F8"/>
    <w:rsid w:val="0060652D"/>
    <w:rsid w:val="00612315"/>
    <w:rsid w:val="00671C84"/>
    <w:rsid w:val="006729D4"/>
    <w:rsid w:val="006A34F7"/>
    <w:rsid w:val="006C0307"/>
    <w:rsid w:val="007139F8"/>
    <w:rsid w:val="007A67AF"/>
    <w:rsid w:val="008743C1"/>
    <w:rsid w:val="008E0B6F"/>
    <w:rsid w:val="00906904"/>
    <w:rsid w:val="00936C22"/>
    <w:rsid w:val="00A41760"/>
    <w:rsid w:val="00B34AA7"/>
    <w:rsid w:val="00B94528"/>
    <w:rsid w:val="00BA7808"/>
    <w:rsid w:val="00CD5971"/>
    <w:rsid w:val="00D073B2"/>
    <w:rsid w:val="00D2446E"/>
    <w:rsid w:val="00D373A8"/>
    <w:rsid w:val="00D77860"/>
    <w:rsid w:val="00D81C66"/>
    <w:rsid w:val="00DA26E4"/>
    <w:rsid w:val="00F03C3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uiPriority w:val="99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729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29D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7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729D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D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A67AF"/>
    <w:rPr>
      <w:color w:val="0000FF"/>
      <w:u w:val="single"/>
    </w:rPr>
  </w:style>
  <w:style w:type="paragraph" w:customStyle="1" w:styleId="Standard">
    <w:name w:val="Standard"/>
    <w:uiPriority w:val="99"/>
    <w:rsid w:val="007A67A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A41760"/>
    <w:pPr>
      <w:ind w:left="720"/>
      <w:contextualSpacing/>
    </w:pPr>
  </w:style>
  <w:style w:type="character" w:customStyle="1" w:styleId="rvts7">
    <w:name w:val="rvts7"/>
    <w:rsid w:val="003214E5"/>
  </w:style>
  <w:style w:type="paragraph" w:customStyle="1" w:styleId="rvps219">
    <w:name w:val="rvps219"/>
    <w:basedOn w:val="a"/>
    <w:rsid w:val="003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3214E5"/>
  </w:style>
  <w:style w:type="character" w:customStyle="1" w:styleId="rvts11">
    <w:name w:val="rvts11"/>
    <w:rsid w:val="003214E5"/>
  </w:style>
  <w:style w:type="paragraph" w:styleId="a8">
    <w:name w:val="Title"/>
    <w:basedOn w:val="a"/>
    <w:link w:val="a9"/>
    <w:qFormat/>
    <w:rsid w:val="00205E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05E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60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pasn-gorsovet.gov.ua/assets/files/deputati/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2018-12-10T10:44:00Z</dcterms:created>
  <dcterms:modified xsi:type="dcterms:W3CDTF">2018-12-26T13:04:00Z</dcterms:modified>
</cp:coreProperties>
</file>